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pacing w:after="240"/>
        <w:rPr>
          <w:rFonts w:ascii="Helvetica Neue" w:cs="Helvetica Neue" w:hAnsi="Helvetica Neue" w:eastAsia="Helvetica Neue"/>
          <w:b w:val="1"/>
          <w:bCs w:val="1"/>
        </w:rPr>
      </w:pPr>
      <w:r>
        <w:rPr>
          <w:rFonts w:ascii="Helvetica Neue"/>
          <w:b w:val="1"/>
          <w:bCs w:val="1"/>
          <w:sz w:val="24"/>
          <w:szCs w:val="24"/>
          <w:rtl w:val="0"/>
          <w:lang w:val="fr-FR"/>
        </w:rPr>
        <w:t xml:space="preserve">Biography </w:t>
      </w:r>
    </w:p>
    <w:p>
      <w:pPr>
        <w:pStyle w:val="Body A"/>
        <w:widowControl w:val="0"/>
        <w:spacing w:after="240"/>
        <w:rPr>
          <w:rFonts w:ascii="Helvetica" w:cs="Helvetica" w:hAnsi="Helvetica" w:eastAsia="Helvetica"/>
        </w:rPr>
      </w:pPr>
      <w:r>
        <w:rPr>
          <w:rFonts w:ascii="Helvetica Neue"/>
          <w:b w:val="1"/>
          <w:bCs w:val="1"/>
          <w:sz w:val="24"/>
          <w:szCs w:val="24"/>
          <w:rtl w:val="0"/>
          <w:lang w:val="sv-SE"/>
        </w:rPr>
        <w:t>Wolfgang Buttress</w:t>
      </w:r>
      <w:r>
        <w:rPr>
          <w:rFonts w:hAnsi="Times New Roman" w:hint="default"/>
          <w:sz w:val="24"/>
          <w:szCs w:val="24"/>
          <w:rtl w:val="0"/>
          <w:lang w:val="en-US"/>
        </w:rPr>
        <w:t xml:space="preserve"> – </w:t>
      </w:r>
      <w:r>
        <w:rPr>
          <w:rFonts w:ascii="Helvetica Neue"/>
          <w:sz w:val="24"/>
          <w:szCs w:val="24"/>
          <w:rtl w:val="0"/>
          <w:lang w:val="fr-FR"/>
        </w:rPr>
        <w:t>artist</w:t>
      </w:r>
    </w:p>
    <w:p>
      <w:pPr>
        <w:pStyle w:val="Body A"/>
        <w:widowControl w:val="0"/>
        <w:spacing w:after="320"/>
        <w:rPr>
          <w:rFonts w:ascii="Helvetica" w:cs="Helvetica" w:hAnsi="Helvetica" w:eastAsia="Helvetica"/>
        </w:rPr>
      </w:pPr>
      <w:r>
        <w:rPr>
          <w:rFonts w:ascii="Helvetica Neue"/>
          <w:sz w:val="24"/>
          <w:szCs w:val="24"/>
          <w:rtl w:val="0"/>
          <w:lang w:val="en-US"/>
        </w:rPr>
        <w:t>Wolfgang Buttress creates simple, elegant and contextual sculptures which seek to define and celebrate a sense of place. Stepping out of the cacophony of the modern world, the artworks seek to establish a connection to something timeless and elemental. Increasingly, he has drawn inspiration from nature, collaborating with experts to explore and interpret scientific discoveries. Such collaborations enable something of the timeless mystery of nature to transpose into art.</w:t>
      </w:r>
    </w:p>
    <w:p>
      <w:pPr>
        <w:pStyle w:val="Body A"/>
        <w:widowControl w:val="0"/>
        <w:spacing w:after="320"/>
        <w:rPr>
          <w:rFonts w:ascii="Helvetica Neue" w:cs="Helvetica Neue" w:hAnsi="Helvetica Neue" w:eastAsia="Helvetica Neue"/>
          <w:sz w:val="24"/>
          <w:szCs w:val="24"/>
          <w:rtl w:val="0"/>
          <w:lang w:val="en-US"/>
        </w:rPr>
      </w:pPr>
      <w:r>
        <w:rPr>
          <w:rFonts w:ascii="Helvetica Neue"/>
          <w:sz w:val="24"/>
          <w:szCs w:val="24"/>
          <w:rtl w:val="0"/>
          <w:lang w:val="en-US"/>
        </w:rPr>
        <w:t>Simplicity</w:t>
      </w:r>
      <w:r>
        <w:rPr>
          <w:rFonts w:ascii="Helvetica Neue"/>
          <w:sz w:val="24"/>
          <w:szCs w:val="24"/>
          <w:rtl w:val="0"/>
          <w:lang w:val="en-US"/>
        </w:rPr>
        <w:t xml:space="preserve"> is achieved through integrated structural analysis, allowing the sculptures to be refined and reduced to an essential form. It is fundamental to his practice that artworks engage with their context and landscape. Over the last 20 years he has worked and collaborated with many renowned Architects, Landscape Architects and Structural Engineers</w:t>
      </w:r>
      <w:r>
        <w:rPr>
          <w:rFonts w:ascii="Helvetica Neue"/>
          <w:sz w:val="24"/>
          <w:szCs w:val="24"/>
          <w:rtl w:val="0"/>
          <w:lang w:val="en-US"/>
        </w:rPr>
        <w:t>.</w:t>
      </w:r>
    </w:p>
    <w:p>
      <w:pPr>
        <w:pStyle w:val="Body A"/>
        <w:widowControl w:val="0"/>
        <w:spacing w:after="320"/>
      </w:pPr>
      <w:r>
        <w:rPr>
          <w:rFonts w:ascii="Helvetica Neue"/>
          <w:sz w:val="24"/>
          <w:szCs w:val="24"/>
          <w:rtl w:val="0"/>
          <w:lang w:val="en-US"/>
        </w:rPr>
        <w:t xml:space="preserve">Awards for his work have included the </w:t>
      </w:r>
      <w:r>
        <w:rPr>
          <w:rFonts w:ascii="Helvetica Neue"/>
          <w:sz w:val="24"/>
          <w:szCs w:val="24"/>
          <w:rtl w:val="0"/>
          <w:lang w:val="en-US"/>
        </w:rPr>
        <w:t>Italian Association of Architects</w:t>
      </w:r>
      <w:r>
        <w:rPr>
          <w:rFonts w:ascii="Helvetica Neue"/>
          <w:sz w:val="24"/>
          <w:szCs w:val="24"/>
          <w:rtl w:val="0"/>
          <w:lang w:val="en-US"/>
        </w:rPr>
        <w:t xml:space="preserve"> award for </w:t>
      </w:r>
      <w:r>
        <w:rPr>
          <w:rFonts w:hAnsi="Helvetica Neue" w:hint="default"/>
          <w:sz w:val="24"/>
          <w:szCs w:val="24"/>
          <w:rtl w:val="0"/>
          <w:lang w:val="en-US"/>
        </w:rPr>
        <w:t>‘</w:t>
      </w:r>
      <w:r>
        <w:rPr>
          <w:rFonts w:ascii="Helvetica Neue"/>
          <w:sz w:val="24"/>
          <w:szCs w:val="24"/>
          <w:rtl w:val="0"/>
          <w:lang w:val="en-US"/>
        </w:rPr>
        <w:t>Best Pavilion Architecture</w:t>
      </w:r>
      <w:r>
        <w:rPr>
          <w:rFonts w:hAnsi="Helvetica Neue" w:hint="default"/>
          <w:sz w:val="24"/>
          <w:szCs w:val="24"/>
          <w:rtl w:val="0"/>
          <w:lang w:val="en-US"/>
        </w:rPr>
        <w:t xml:space="preserve">’ </w:t>
      </w:r>
      <w:r>
        <w:rPr>
          <w:rFonts w:ascii="Helvetica Neue"/>
          <w:sz w:val="24"/>
          <w:szCs w:val="24"/>
          <w:rtl w:val="0"/>
          <w:lang w:val="en-US"/>
        </w:rPr>
        <w:t xml:space="preserve">at Milan Expo 2015, the Japanese </w:t>
      </w:r>
      <w:r>
        <w:rPr>
          <w:rFonts w:ascii="Helvetica Neue"/>
          <w:rtl w:val="0"/>
          <w:lang w:val="en-US"/>
        </w:rPr>
        <w:t xml:space="preserve">Kajima Gold Award for </w:t>
      </w:r>
      <w:r>
        <w:rPr>
          <w:rFonts w:hAnsi="Times New Roman" w:hint="default"/>
          <w:rtl w:val="0"/>
          <w:lang w:val="en-US"/>
        </w:rPr>
        <w:t>‘</w:t>
      </w:r>
      <w:r>
        <w:rPr>
          <w:rFonts w:ascii="Helvetica Neue"/>
          <w:rtl w:val="0"/>
          <w:lang w:val="fr-FR"/>
        </w:rPr>
        <w:t>Space</w:t>
      </w:r>
      <w:r>
        <w:rPr>
          <w:rFonts w:hAnsi="Times New Roman" w:hint="default"/>
          <w:rtl w:val="0"/>
          <w:lang w:val="en-US"/>
        </w:rPr>
        <w:t xml:space="preserve">’ </w:t>
      </w:r>
      <w:r>
        <w:rPr>
          <w:rFonts w:ascii="Helvetica Neue"/>
          <w:rtl w:val="0"/>
          <w:lang w:val="fr-FR"/>
        </w:rPr>
        <w:t>(2014)</w:t>
      </w:r>
      <w:r>
        <w:rPr>
          <w:rFonts w:ascii="Helvetica Neue"/>
          <w:sz w:val="24"/>
          <w:szCs w:val="24"/>
          <w:rtl w:val="0"/>
          <w:lang w:val="en-US"/>
        </w:rPr>
        <w:t xml:space="preserve"> </w:t>
      </w:r>
      <w:r>
        <w:rPr>
          <w:rFonts w:ascii="Helvetica Neue"/>
          <w:sz w:val="24"/>
          <w:szCs w:val="24"/>
          <w:rtl w:val="0"/>
          <w:lang w:val="en-US"/>
        </w:rPr>
        <w:t xml:space="preserve">and the </w:t>
      </w:r>
      <w:r>
        <w:rPr>
          <w:rFonts w:ascii="Helvetica Neue"/>
          <w:sz w:val="24"/>
          <w:szCs w:val="24"/>
          <w:rtl w:val="0"/>
          <w:lang w:val="en-US"/>
        </w:rPr>
        <w:t>Structural Steel Award</w:t>
      </w:r>
      <w:r>
        <w:rPr>
          <w:rFonts w:ascii="Cambria" w:cs="Cambria" w:hAnsi="Cambria" w:eastAsia="Cambria"/>
          <w:sz w:val="24"/>
          <w:szCs w:val="24"/>
          <w:rtl w:val="0"/>
          <w:lang w:val="en-US"/>
        </w:rPr>
        <w:t> </w:t>
      </w:r>
      <w:r>
        <w:rPr>
          <w:rFonts w:ascii="Helvetica Neue"/>
          <w:sz w:val="24"/>
          <w:szCs w:val="24"/>
          <w:rtl w:val="0"/>
          <w:lang w:val="en-US"/>
        </w:rPr>
        <w:t xml:space="preserve">for projects under </w:t>
      </w:r>
      <w:r>
        <w:rPr>
          <w:rFonts w:ascii="Cambria" w:cs="Cambria" w:hAnsi="Cambria" w:eastAsia="Cambria"/>
          <w:sz w:val="24"/>
          <w:szCs w:val="24"/>
          <w:rtl w:val="0"/>
          <w:lang w:val="en-US"/>
        </w:rPr>
        <w:t>£</w:t>
      </w:r>
      <w:r>
        <w:rPr>
          <w:rFonts w:ascii="Helvetica Neue"/>
          <w:sz w:val="24"/>
          <w:szCs w:val="24"/>
          <w:rtl w:val="0"/>
          <w:lang w:val="en-US"/>
        </w:rPr>
        <w:t>2million (2013)</w:t>
      </w:r>
      <w:r>
        <w:rPr>
          <w:rFonts w:ascii="Helvetica Neue"/>
          <w:sz w:val="24"/>
          <w:szCs w:val="24"/>
          <w:rtl w:val="0"/>
          <w:lang w:val="en-US"/>
        </w:rPr>
        <w:t>.</w:t>
      </w:r>
      <w:r>
        <w:rPr>
          <w:rFonts w:ascii="Helvetica Neue"/>
          <w:sz w:val="24"/>
          <w:szCs w:val="24"/>
          <w:rtl w:val="0"/>
          <w:lang w:val="en-US"/>
        </w:rPr>
        <w:t xml:space="preserve"> </w:t>
      </w:r>
      <w:r>
        <w:rPr>
          <w:rFonts w:ascii="Helvetica Neue" w:cs="Helvetica Neue" w:hAnsi="Helvetica Neue" w:eastAsia="Helvetica Neue"/>
          <w:sz w:val="24"/>
          <w:szCs w:val="24"/>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